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2"/>
          <w:szCs w:val="22"/>
          <w:rtl w:val="0"/>
        </w:rPr>
        <w:t xml:space="preserve">PNRR 3.1 Nuove competenze e Nuovi linguaggi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- Azioni di potenziamento delle competenze STEM e multilinguistiche (D.M. 65/2023)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2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“STEM BY STEM”–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M4C1I3.1-2023-1143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31613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06/01/2024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M4C1I3.1 - Nuove competenze e nuovi linguaggi- Percorsi vari 2024-25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104.407,93 €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Codice CUP: E44D23002500006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</w:t>
      </w: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u w:val="single"/>
          <w:rtl w:val="0"/>
        </w:rPr>
        <w:t xml:space="preserve">uno dei seguenti ruoli;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 interno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 in coll.plurima con altre scuole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 in coll.plurima con altre P.A.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20" w:before="0" w:beforeAutospacing="0" w:line="24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 esterno </w:t>
      </w:r>
    </w:p>
    <w:tbl>
      <w:tblPr>
        <w:tblStyle w:val="Table2"/>
        <w:tblW w:w="107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gridCol w:w="1660"/>
        <w:tblGridChange w:id="0">
          <w:tblGrid>
            <w:gridCol w:w="9100"/>
            <w:gridCol w:w="1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0" w:firstLine="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Intervento A Percorsi di orientamento e formazione per il potenziamento delle competenze STEM, digitali e di innovazione: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6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Robotica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6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Stampa e modellazione 3D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6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Game design e programmazione con Scratch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1"/>
                <w:numId w:val="6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fisica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1"/>
                <w:numId w:val="6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Circuiti stampati CNC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1"/>
                <w:numId w:val="6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“Logico o Illogico”: attività laboratoriali di logica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1"/>
                <w:numId w:val="6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CADeSimu PCSimu</w:t>
            </w:r>
          </w:p>
        </w:tc>
      </w:tr>
    </w:tbl>
    <w:p w:rsidR="00000000" w:rsidDel="00000000" w:rsidP="00000000" w:rsidRDefault="00000000" w:rsidRPr="00000000" w14:paraId="00000030">
      <w:pPr>
        <w:ind w:left="720" w:right="470" w:firstLine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120" w:before="240" w:line="24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tutor interno per:</w:t>
      </w:r>
      <w:r w:rsidDel="00000000" w:rsidR="00000000" w:rsidRPr="00000000">
        <w:rPr>
          <w:rtl w:val="0"/>
        </w:rPr>
      </w:r>
    </w:p>
    <w:tbl>
      <w:tblPr>
        <w:tblStyle w:val="Table3"/>
        <w:tblW w:w="107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gridCol w:w="1660"/>
        <w:tblGridChange w:id="0">
          <w:tblGrid>
            <w:gridCol w:w="9100"/>
            <w:gridCol w:w="1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left="0" w:firstLine="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Interventi A Percorsi di orientamento e formazione per il potenziamento delle competenze STEM, digitali e di innovazione - a.s. 2024-25.</w:t>
            </w:r>
          </w:p>
        </w:tc>
      </w:tr>
    </w:tbl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responsabilità.</w:t>
      </w:r>
    </w:p>
    <w:p w:rsidR="00000000" w:rsidDel="00000000" w:rsidP="00000000" w:rsidRDefault="00000000" w:rsidRPr="00000000" w14:paraId="00000034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il nostro Istituto o servizio effettivo fino al 31/8/2025;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B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F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40" w:lineRule="auto"/>
        <w:jc w:val="center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PUNTEGGIO A CURA DEL CANDIDATO INTERNO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240" w:lineRule="auto"/>
        <w:ind w:left="283.46456692913375" w:hanging="360"/>
        <w:jc w:val="both"/>
        <w:rPr>
          <w:rFonts w:ascii="Philosopher" w:cs="Philosopher" w:eastAsia="Philosopher" w:hAnsi="Philosopher"/>
          <w:i w:val="1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 per i docenti esperti interni: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in servizio effettivo e permanere nell’istituto almeno fino al 31/08/2025,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il titolo di accesso alla tipologia di corso di formazione da erogare.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b. prerequisiti per i tutor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line="240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l’istituto o intendere permanere nell’istituto almeno fino al 31/08/2025 e non aver fatto domanda di trasferimento;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line="240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competenze informatiche.</w:t>
      </w:r>
    </w:p>
    <w:p w:rsidR="00000000" w:rsidDel="00000000" w:rsidP="00000000" w:rsidRDefault="00000000" w:rsidRPr="00000000" w14:paraId="00000049">
      <w:pPr>
        <w:spacing w:line="240" w:lineRule="auto"/>
        <w:ind w:left="720" w:firstLine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="240" w:lineRule="auto"/>
        <w:jc w:val="both"/>
        <w:rPr>
          <w:rFonts w:ascii="Philosopher" w:cs="Philosopher" w:eastAsia="Philosopher" w:hAnsi="Philosopher"/>
          <w:b w:val="0"/>
          <w:i w:val="1"/>
          <w:sz w:val="22"/>
          <w:szCs w:val="22"/>
        </w:rPr>
      </w:pPr>
      <w:bookmarkStart w:colFirst="0" w:colLast="0" w:name="_qh4k3tk8p7wa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COMPILARE, DI SEGUITO, 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u w:val="single"/>
          <w:rtl w:val="0"/>
        </w:rPr>
        <w:t xml:space="preserve">SOLO LA TABELLA DI PROPRIO INTERESSE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widowControl w:val="0"/>
        <w:numPr>
          <w:ilvl w:val="0"/>
          <w:numId w:val="7"/>
        </w:numPr>
        <w:tabs>
          <w:tab w:val="left" w:leader="none" w:pos="446"/>
        </w:tabs>
        <w:spacing w:after="0" w:before="0" w:line="240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  <w:u w:val="none"/>
        </w:rPr>
      </w:pPr>
      <w:bookmarkStart w:colFirst="0" w:colLast="0" w:name="_yw5nmca4fmxv" w:id="1"/>
      <w:bookmarkEnd w:id="1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selezione degli </w:t>
      </w: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Esperti 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e relativi punteggi (completare la colonna “punteggio candidato” ed allegare alla domanda i titoli che attestino il punteggio):</w:t>
      </w:r>
      <w:r w:rsidDel="00000000" w:rsidR="00000000" w:rsidRPr="00000000">
        <w:rPr>
          <w:rtl w:val="0"/>
        </w:rPr>
      </w:r>
    </w:p>
    <w:tbl>
      <w:tblPr>
        <w:tblStyle w:val="Table4"/>
        <w:tblW w:w="985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8.346265761397"/>
        <w:gridCol w:w="2074.2337536372456"/>
        <w:gridCol w:w="1787.4733268671193"/>
        <w:gridCol w:w="1787.4733268671193"/>
        <w:gridCol w:w="1787.4733268671193"/>
        <w:tblGridChange w:id="0">
          <w:tblGrid>
            <w:gridCol w:w="2418.346265761397"/>
            <w:gridCol w:w="2074.2337536372456"/>
            <w:gridCol w:w="1787.4733268671193"/>
            <w:gridCol w:w="1787.4733268671193"/>
            <w:gridCol w:w="1787.47332686711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52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4"/>
                <w:szCs w:val="14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Altre certificazioni inerenti la tematica di progetto per cui ci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professionale maturata nel settore per cui ci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nei progetti PNRR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leader="none" w:pos="446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widowControl w:val="0"/>
        <w:numPr>
          <w:ilvl w:val="0"/>
          <w:numId w:val="5"/>
        </w:numPr>
        <w:tabs>
          <w:tab w:val="left" w:leader="none" w:pos="446"/>
        </w:tabs>
        <w:spacing w:after="0" w:before="0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  <w:u w:val="none"/>
        </w:rPr>
      </w:pPr>
      <w:bookmarkStart w:colFirst="0" w:colLast="0" w:name="_u0c6q6qa6mzl" w:id="2"/>
      <w:bookmarkEnd w:id="2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selezione dei </w:t>
      </w: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tutor interni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 e relativi punteggi (completare la colonna “punteggio candidato” ed allegare alla domanda i titoli che attestino il punteggio):</w:t>
      </w:r>
      <w:r w:rsidDel="00000000" w:rsidR="00000000" w:rsidRPr="00000000">
        <w:rPr>
          <w:rtl w:val="0"/>
        </w:rPr>
      </w:r>
    </w:p>
    <w:tbl>
      <w:tblPr>
        <w:tblStyle w:val="Table5"/>
        <w:tblW w:w="985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8.346265761397"/>
        <w:gridCol w:w="2074.2337536372456"/>
        <w:gridCol w:w="1787.4733268671193"/>
        <w:gridCol w:w="1787.4733268671193"/>
        <w:gridCol w:w="1787.4733268671193"/>
        <w:tblGridChange w:id="0">
          <w:tblGrid>
            <w:gridCol w:w="2418.346265761397"/>
            <w:gridCol w:w="2074.2337536372456"/>
            <w:gridCol w:w="1787.4733268671193"/>
            <w:gridCol w:w="1787.4733268671193"/>
            <w:gridCol w:w="1787.47332686711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83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4"/>
                <w:szCs w:val="14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8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8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8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8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8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nelle attività di progettazione in ambito PNRR attraverso la gestione della piattaforma FUTURA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</w:t>
      </w:r>
    </w:p>
    <w:p w:rsidR="00000000" w:rsidDel="00000000" w:rsidP="00000000" w:rsidRDefault="00000000" w:rsidRPr="00000000" w14:paraId="000000A3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AVVISO/BANDO PUBBLICO………………..</w:t>
        <w:tab/>
        <w:t xml:space="preserve">del……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6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C3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