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rtl w:val="0"/>
        </w:rPr>
        <w:t xml:space="preserve">Laboratori per l’intelligenza artificiale - Area scientifica (14h) e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Comunicare e Creare con l’AI -  Area umanistica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interno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tutor interno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 collaborazione plurime (altre scuole)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 collaborazioni plurime (altra PA)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12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E’ possibile opzione un solo ruolo.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0" w:line="24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Chiede la partecipazione per i seguenti moduli, nell’ambito dei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laboratori di formazione sul campo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4"/>
        </w:numPr>
        <w:spacing w:before="0" w:line="240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Laboratori per l’intelligenza artificiale - Area scientifica (14h)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4"/>
        </w:numPr>
        <w:spacing w:before="0" w:line="240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Comunicare e Creare con l’AI - Area umanistica (10 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F">
      <w:pPr>
        <w:spacing w:after="120" w:before="240" w:line="240" w:lineRule="auto"/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  <w:br w:type="textWrapping"/>
      </w:r>
    </w:p>
    <w:p w:rsidR="00000000" w:rsidDel="00000000" w:rsidP="00000000" w:rsidRDefault="00000000" w:rsidRPr="00000000" w14:paraId="00000035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Allega: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9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283.46456692913375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solo per i dipendenti interni: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76" w:lineRule="auto"/>
        <w:ind w:left="705" w:hanging="285"/>
        <w:jc w:val="both"/>
        <w:rPr>
          <w:rFonts w:ascii="Philosopher" w:cs="Philosopher" w:eastAsia="Philosopher" w:hAnsi="Philosopher"/>
          <w:b w:val="0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l’istituto;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line="276" w:lineRule="auto"/>
        <w:ind w:left="708.6614173228347" w:hanging="283.46456692913375"/>
        <w:jc w:val="both"/>
        <w:rPr>
          <w:rFonts w:ascii="Philosopher" w:cs="Philosopher" w:eastAsia="Philosopher" w:hAnsi="Philosopher"/>
          <w:b w:val="0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31/08/2025 e non aver fatto domanda di trasferimento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titolo di accesso alla tipologia di corso di formazione da erogare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rwi2donuhfrg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c. Criteri per la selezione e relativi punteggi: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yw5nmca4fmxv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500"/>
        <w:gridCol w:w="1815"/>
        <w:gridCol w:w="1965"/>
        <w:gridCol w:w="1890"/>
        <w:tblGridChange w:id="0">
          <w:tblGrid>
            <w:gridCol w:w="2490"/>
            <w:gridCol w:w="1500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8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8"/>
                <w:szCs w:val="8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professionale maturata in campo informatico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punto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come formatore nel corso per cui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Iscrizione all’albo dei formatori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in ruolo nell’istituto o altra P.A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dirigente scolastico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73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 PUBBLICO prot………………..</w:t>
        <w:tab/>
        <w:t xml:space="preserve">del……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94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Times New Roman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83.464566929133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