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661.417322834645" w:firstLine="0"/>
        <w:rPr>
          <w:rFonts w:ascii="Philosopher" w:cs="Philosopher" w:eastAsia="Philosopher" w:hAnsi="Philosopher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2.204724409448886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12" w:line="240" w:lineRule="auto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AVVISO DI SELEZIONE </w:t>
      </w:r>
    </w:p>
    <w:p w:rsidR="00000000" w:rsidDel="00000000" w:rsidP="00000000" w:rsidRDefault="00000000" w:rsidRPr="00000000" w14:paraId="0000000C">
      <w:pPr>
        <w:spacing w:after="120" w:line="24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RSPP</w:t>
      </w:r>
    </w:p>
    <w:p w:rsidR="00000000" w:rsidDel="00000000" w:rsidP="00000000" w:rsidRDefault="00000000" w:rsidRPr="00000000" w14:paraId="0000000D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="24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CHIEDE</w:t>
      </w:r>
    </w:p>
    <w:p w:rsidR="00000000" w:rsidDel="00000000" w:rsidP="00000000" w:rsidRDefault="00000000" w:rsidRPr="00000000" w14:paraId="00000022">
      <w:pPr>
        <w:spacing w:after="12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esterno (privati).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8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2E">
      <w:pPr>
        <w:spacing w:after="6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Inoltre si allega: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titolo di accesso all’incarico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Riepilogo punteggi:</w:t>
      </w:r>
      <w:r w:rsidDel="00000000" w:rsidR="00000000" w:rsidRPr="00000000">
        <w:rPr>
          <w:rtl w:val="0"/>
        </w:rPr>
      </w:r>
    </w:p>
    <w:tbl>
      <w:tblPr>
        <w:tblStyle w:val="Table2"/>
        <w:tblW w:w="9637.511811023624" w:type="dxa"/>
        <w:jc w:val="left"/>
        <w:tblLayout w:type="fixed"/>
        <w:tblLook w:val="0600"/>
      </w:tblPr>
      <w:tblGrid>
        <w:gridCol w:w="6473.349246528862"/>
        <w:gridCol w:w="1054.7208548315866"/>
        <w:gridCol w:w="1054.7208548315866"/>
        <w:gridCol w:w="1054.7208548315866"/>
        <w:tblGridChange w:id="0">
          <w:tblGrid>
            <w:gridCol w:w="6473.349246528862"/>
            <w:gridCol w:w="1054.7208548315866"/>
            <w:gridCol w:w="1054.7208548315866"/>
            <w:gridCol w:w="1054.7208548315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PUNT. MAX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PUNT. DEL CANDIDATO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VALIDAZIONE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Diploma di laurea quinquennale o specialistica in ingegneria o architettura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8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Abilitazione all’esercizio della professione di ingegnere o di architetto, geologo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10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Iscrizione nell’elenco del M.I. come antincendio ai sensi del D.M. 05/08/2011 (ex legge 818/1984)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5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universitario di I livello in materia di sicurezza sui luoghi di lavoro </w:t>
              <w:br w:type="textWrapping"/>
              <w:t xml:space="preserve">(se ne valuta 1)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3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universitario di II livello in materia di sicurezza sui luoghi di lavoro </w:t>
              <w:br w:type="textWrapping"/>
              <w:t xml:space="preserve">(se ne valuta 1)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Incarichi annuali nelle istituzioni scolastiche in qualità di RSPP </w:t>
              <w:br w:type="textWrapping"/>
              <w:t xml:space="preserve">(si prende in considerazione un incarico solo per ciascun anno)  per ciascun incarico max punti 18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Docenza in corsi di formazione sulla sicurezza per i lavoratori, per i preposti e corsi per addetti antincendio (di durata non inferiore a 8 ore)  per ogni corso max punti 20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58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40" w:lineRule="auto"/>
        <w:jc w:val="right"/>
        <w:rPr>
          <w:rFonts w:ascii="Philosopher" w:cs="Philosopher" w:eastAsia="Philosopher" w:hAnsi="Philosopher"/>
          <w:i w:val="1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20.0393700787413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2" Type="http://schemas.openxmlformats.org/officeDocument/2006/relationships/image" Target="media/image4.jpg"/><Relationship Id="rId9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